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DC" w:rsidRPr="006E417E" w:rsidRDefault="00A242DC" w:rsidP="00A242DC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41216860" wp14:editId="39AE04DD">
            <wp:simplePos x="0" y="0"/>
            <wp:positionH relativeFrom="column">
              <wp:posOffset>503555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A242DC" w:rsidRPr="006E417E" w:rsidRDefault="00A242DC" w:rsidP="00A242DC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A242DC" w:rsidRPr="006E417E" w:rsidRDefault="00A242DC" w:rsidP="00A2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A242DC" w:rsidRPr="00BC2D81" w:rsidRDefault="00A242DC" w:rsidP="00A2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A242DC" w:rsidRPr="00BC2D81" w:rsidRDefault="00A242DC" w:rsidP="00A24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142</w:t>
      </w:r>
      <w:r w:rsidRPr="00223A58">
        <w:rPr>
          <w:rFonts w:ascii="Times New Roman" w:hAnsi="Times New Roman" w:cs="Times New Roman"/>
          <w:b/>
          <w:color w:val="D9D9D9" w:themeColor="background1" w:themeShade="D9"/>
          <w:sz w:val="26"/>
          <w:szCs w:val="26"/>
          <w:lang w:eastAsia="bg-BG" w:bidi="bg-BG"/>
        </w:rPr>
        <w:t>.</w:t>
      </w:r>
    </w:p>
    <w:p w:rsidR="00A242DC" w:rsidRPr="00BC2D81" w:rsidRDefault="00A242DC" w:rsidP="00A24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гр. София,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31.03.202</w:t>
      </w:r>
      <w:r>
        <w:rPr>
          <w:rFonts w:ascii="Times New Roman" w:hAnsi="Times New Roman" w:cs="Times New Roman"/>
          <w:b/>
          <w:sz w:val="26"/>
          <w:szCs w:val="26"/>
          <w:lang w:val="en-US" w:eastAsia="bg-BG" w:bidi="bg-BG"/>
        </w:rPr>
        <w:t>2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A242DC" w:rsidRPr="00C41595" w:rsidRDefault="00A242DC" w:rsidP="00A242D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реализиране на приход от отдаване под наем на част от имот – публична държавна собственост</w:t>
      </w:r>
    </w:p>
    <w:p w:rsidR="00A242DC" w:rsidRPr="00C41595" w:rsidRDefault="00A242DC" w:rsidP="00A242DC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A242DC" w:rsidRPr="00C41595" w:rsidRDefault="00A242DC" w:rsidP="00A242D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A242DC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A242DC" w:rsidRPr="00E66FDA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“ № 23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(част СРС и част СРП)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5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(пет)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предназначени за монтиране на автомати за топли напитки, както следва:</w:t>
      </w:r>
    </w:p>
    <w:p w:rsidR="00A242DC" w:rsidRPr="00E66FDA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1. 3 бр. площи, всяка от които по 1,00 (един) кв.метър, на партерен етаж, за монтиране на общо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3 броя автомат за топли напитки;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2.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2 бр. площи, всяка от които по 1,00 (един) кв.метър, на четвърти етаж, за монтиране на общо 2 броя автомат за топли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– съдии, прокурори, служители от СРС и Софийска районна прокуратура (СРП), както и посетители на сградата на съда.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- съдии и служители от СРС (част СРС), прокурори и служители на СРП (част СРП).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A242DC" w:rsidRPr="00E528DE" w:rsidRDefault="00A242DC" w:rsidP="00A242DC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A242DC" w:rsidRPr="00772963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топли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242DC" w:rsidRPr="00A04D0F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A242DC" w:rsidRPr="00846D51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До участие в търга се допускат всички физически и юридически лица, регистрирани по Търговския закон, по Закона за кооперациите или по Закона за задълженията и договорите и като дружества </w:t>
      </w:r>
      <w:bookmarkStart w:id="0" w:name="_GoBack"/>
      <w:bookmarkEnd w:id="0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 законодателството на държава членка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топли напитки и притежаващи най-малко двугодишен професионален опит в експлоатацията им и отговарящи на условията на търга, посочени в настоящата заповед.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документ, удостоверяващ наличието на собствени и/или наети автомати (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) за топли напитки за целия срок на договора за наем на недвижимия имот (документ, удостоверяващ правото на собственост и/или договор за наем).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сертификат от производителя и/или други документи, доказващи, че автоматите отговарят на стандартите за качество и безопасност, съгласно българското законодателство.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влаганите в автомата за топли напитки вещества и продукти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 настоящата тръжна процедура.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топли напитки/кафе-автомати.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референция по някой от включените по т.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.5. договори.</w:t>
      </w:r>
    </w:p>
    <w:p w:rsidR="00A242DC" w:rsidRPr="00846D51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.7.1.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е длъжен в срок до 10 (десет) дни от подписване на договора за наем да монтира и осигури за експлоатация в наетата площ автомати за топли напитки,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за безопасност при експлоатация.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.7.2.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топли напитки, както и каталози, в които е посочена консумацията на автоматите на електрическа енергия и вода;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>.7.3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- Да бъдат снабдени със стикер с указания на български език;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със стикер с телефонен номер и електронна поща за оповестяване на повреди;</w:t>
      </w:r>
    </w:p>
    <w:p w:rsidR="00A242DC" w:rsidRDefault="00A242DC" w:rsidP="00A242DC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минимум</w:t>
      </w:r>
      <w:r w:rsidRPr="00846D51">
        <w:rPr>
          <w:lang w:eastAsia="bg-BG" w:bidi="bg-BG"/>
        </w:rPr>
        <w:t xml:space="preserve">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16 вида топли напитки, сред които кафе еспресо,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безкофеиново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кафе, разтворимо кафе, чай, горещ шоколад</w:t>
      </w:r>
      <w:r w:rsidRPr="004E1D98">
        <w:rPr>
          <w:rFonts w:ascii="Times New Roman" w:hAnsi="Times New Roman" w:cs="Times New Roman"/>
          <w:sz w:val="24"/>
          <w:szCs w:val="24"/>
          <w:lang w:eastAsia="bg-BG" w:bidi="bg-BG"/>
        </w:rPr>
        <w:t>, мляко, захар и др.;</w:t>
      </w:r>
    </w:p>
    <w:p w:rsidR="00A242DC" w:rsidRDefault="00A242DC" w:rsidP="00A242DC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Да са с </w:t>
      </w:r>
      <w:r w:rsidRPr="004E1D98">
        <w:rPr>
          <w:rFonts w:ascii="Times New Roman" w:hAnsi="Times New Roman" w:cs="Times New Roman"/>
          <w:sz w:val="24"/>
          <w:szCs w:val="24"/>
          <w:lang w:eastAsia="bg-BG" w:bidi="bg-BG"/>
        </w:rPr>
        <w:t>капацитет на едно зареждане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4E1D98">
        <w:rPr>
          <w:rFonts w:ascii="Times New Roman" w:hAnsi="Times New Roman" w:cs="Times New Roman"/>
          <w:sz w:val="24"/>
          <w:szCs w:val="24"/>
          <w:lang w:eastAsia="bg-BG" w:bidi="bg-BG"/>
        </w:rPr>
        <w:t>– не по-малко от 500 чаши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A242DC" w:rsidRDefault="00A242DC" w:rsidP="00A242DC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- Д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A242DC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.;</w:t>
      </w:r>
    </w:p>
    <w:p w:rsidR="00A242DC" w:rsidRPr="00F27D6A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Да са с автономно захранване с вода от собствен водоизточник;</w:t>
      </w:r>
    </w:p>
    <w:p w:rsidR="00A242DC" w:rsidRPr="00F27D6A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 контролен електромер;</w:t>
      </w:r>
    </w:p>
    <w:p w:rsidR="00A242DC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- Оборотите от всички продажби следва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C64EC1">
        <w:rPr>
          <w:rFonts w:ascii="Times New Roman" w:hAnsi="Times New Roman" w:cs="Times New Roman"/>
          <w:b/>
          <w:sz w:val="24"/>
          <w:szCs w:val="24"/>
          <w:lang w:eastAsia="bg-BG" w:bidi="bg-BG"/>
        </w:rPr>
        <w:t>.7.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C64EC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наемател е длъжен, при възникване на авария в някой от автоматите, да я отстрани за срок 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A242DC" w:rsidRPr="00846D51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A242DC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</w:t>
      </w:r>
      <w:r w:rsidRPr="00C549C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да спазва установения режим за сигурност в сградата и хигиенно-санитарните изисквания в сградата.</w:t>
      </w:r>
    </w:p>
    <w:p w:rsidR="00A242DC" w:rsidRDefault="00A242DC" w:rsidP="00A242DC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06167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A242DC" w:rsidRPr="004E1D98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Едномесечна наемна вноска в общ размер на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867,54</w:t>
      </w:r>
      <w:r w:rsidRPr="00F27D6A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осемстотин </w:t>
      </w:r>
      <w:r w:rsidRPr="00F27D6A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шестдесет 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седем лева и петдесет и четири стотинки</w:t>
      </w:r>
      <w:r w:rsidRPr="00F27D6A">
        <w:rPr>
          <w:rFonts w:ascii="Times New Roman" w:hAnsi="Times New Roman" w:cs="Times New Roman"/>
          <w:b/>
          <w:sz w:val="24"/>
          <w:szCs w:val="24"/>
          <w:lang w:eastAsia="bg-BG" w:bidi="bg-BG"/>
        </w:rPr>
        <w:t>) лева с включен ДДС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от външен експерт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осемте обекта, включени в тръжната процедура.</w:t>
      </w:r>
    </w:p>
    <w:p w:rsidR="00A242DC" w:rsidRDefault="00A242DC" w:rsidP="00A242DC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A242DC" w:rsidRPr="00C41595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A242DC" w:rsidRPr="00C41595" w:rsidRDefault="00A242DC" w:rsidP="00A242DC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A242DC" w:rsidRPr="0020261A" w:rsidRDefault="00A242DC" w:rsidP="00A242DC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A242DC" w:rsidRPr="00ED5EB9" w:rsidRDefault="00A242DC" w:rsidP="00A242D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протокол, и се заплащат от наемателя по транзитната сметка на Софийския районен съд: </w:t>
      </w:r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A242DC" w:rsidRDefault="00A242DC" w:rsidP="00A242DC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242DC" w:rsidRDefault="00A242DC" w:rsidP="00A242DC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Парична вноска в размер </w:t>
      </w:r>
      <w:r w:rsidRPr="006D2A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 </w:t>
      </w:r>
      <w:r w:rsidRPr="006D2AB5">
        <w:rPr>
          <w:rFonts w:ascii="Times New Roman" w:hAnsi="Times New Roman" w:cs="Times New Roman"/>
          <w:b/>
          <w:sz w:val="24"/>
          <w:szCs w:val="24"/>
          <w:lang w:eastAsia="bg-BG" w:bidi="bg-BG"/>
        </w:rPr>
        <w:t>100 (сто) лева.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се внася по сметка на Софийски районен съд</w:t>
      </w:r>
      <w:r w:rsidRPr="009322D1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BG96CECB97903343897400, BIC: CECBBGSF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АД, най-късно до изтичане на срока за подаване на заявленията.</w:t>
      </w:r>
    </w:p>
    <w:p w:rsidR="00A242DC" w:rsidRPr="006D2AB5" w:rsidRDefault="00A242DC" w:rsidP="00A242DC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Софийския районен съд в „Централна кооперативна банка“ АД - </w:t>
      </w:r>
      <w:r w:rsidRPr="00A54ED5">
        <w:rPr>
          <w:rFonts w:ascii="Times New Roman" w:hAnsi="Times New Roman"/>
          <w:sz w:val="24"/>
          <w:szCs w:val="24"/>
          <w:lang w:bidi="en-US"/>
        </w:rPr>
        <w:t>IBAN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6D2AB5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6D2AB5">
        <w:rPr>
          <w:rFonts w:ascii="Times New Roman" w:hAnsi="Times New Roman"/>
          <w:sz w:val="24"/>
          <w:szCs w:val="24"/>
        </w:rPr>
        <w:t xml:space="preserve"> CECBBGSF</w:t>
      </w:r>
      <w:r w:rsidRPr="006D2AB5">
        <w:rPr>
          <w:rFonts w:ascii="Times New Roman" w:hAnsi="Times New Roman"/>
          <w:sz w:val="24"/>
          <w:szCs w:val="24"/>
          <w:lang w:bidi="en-US"/>
        </w:rPr>
        <w:t>.</w:t>
      </w:r>
    </w:p>
    <w:p w:rsidR="00A242DC" w:rsidRPr="006932C2" w:rsidRDefault="00A242DC" w:rsidP="00A242DC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932C2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6932C2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6932C2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6932C2">
        <w:rPr>
          <w:rFonts w:ascii="Times New Roman" w:hAnsi="Times New Roman"/>
          <w:b/>
          <w:sz w:val="24"/>
          <w:szCs w:val="24"/>
        </w:rPr>
        <w:t xml:space="preserve">до </w:t>
      </w:r>
      <w:r w:rsidRPr="006932C2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6932C2">
        <w:rPr>
          <w:rFonts w:ascii="Times New Roman" w:hAnsi="Times New Roman"/>
          <w:b/>
          <w:sz w:val="24"/>
          <w:szCs w:val="24"/>
        </w:rPr>
        <w:t>.05.2022 г., от 9</w:t>
      </w:r>
      <w:r w:rsidRPr="006932C2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6932C2">
        <w:rPr>
          <w:rFonts w:ascii="Times New Roman" w:hAnsi="Times New Roman"/>
          <w:b/>
          <w:sz w:val="24"/>
          <w:szCs w:val="24"/>
        </w:rPr>
        <w:t xml:space="preserve"> до 12</w:t>
      </w:r>
      <w:r w:rsidRPr="006932C2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6932C2">
        <w:rPr>
          <w:rFonts w:ascii="Times New Roman" w:hAnsi="Times New Roman"/>
          <w:b/>
          <w:sz w:val="24"/>
          <w:szCs w:val="24"/>
        </w:rPr>
        <w:t xml:space="preserve"> и от 14</w:t>
      </w:r>
      <w:r w:rsidRPr="006932C2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6932C2">
        <w:rPr>
          <w:rFonts w:ascii="Times New Roman" w:hAnsi="Times New Roman"/>
          <w:b/>
          <w:sz w:val="24"/>
          <w:szCs w:val="24"/>
        </w:rPr>
        <w:t xml:space="preserve"> до 17</w:t>
      </w:r>
      <w:r w:rsidRPr="006932C2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6932C2">
        <w:rPr>
          <w:rFonts w:ascii="Times New Roman" w:hAnsi="Times New Roman"/>
          <w:b/>
          <w:sz w:val="24"/>
          <w:szCs w:val="24"/>
        </w:rPr>
        <w:t xml:space="preserve"> ч.</w:t>
      </w:r>
      <w:r w:rsidRPr="006932C2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A242DC" w:rsidRPr="006932C2" w:rsidRDefault="00A242DC" w:rsidP="00A242DC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6932C2">
        <w:rPr>
          <w:rFonts w:ascii="Times New Roman" w:hAnsi="Times New Roman"/>
          <w:sz w:val="24"/>
          <w:szCs w:val="24"/>
        </w:rPr>
        <w:t>Заповедна регистратура“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A242DC" w:rsidRPr="006932C2" w:rsidRDefault="00A242DC" w:rsidP="00A242DC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</w:t>
      </w:r>
      <w:r w:rsidRPr="006932C2">
        <w:rPr>
          <w:rFonts w:ascii="Times New Roman" w:hAnsi="Times New Roman"/>
          <w:b/>
          <w:sz w:val="24"/>
          <w:szCs w:val="24"/>
        </w:rPr>
        <w:t xml:space="preserve">11.05.2022 </w:t>
      </w: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г. </w:t>
      </w:r>
    </w:p>
    <w:p w:rsidR="00A242DC" w:rsidRPr="006932C2" w:rsidRDefault="00A242DC" w:rsidP="00A242DC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могат да се извършват от деня, следващ датата на публикуване на обявата за търга, след предварително съгласуване на времето за извършване на огледа на тел. 02/8954790, ел. поща </w:t>
      </w:r>
      <w:hyperlink r:id="rId9" w:history="1">
        <w:r w:rsidRPr="006932C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A242DC" w:rsidRPr="006932C2" w:rsidRDefault="00A242DC" w:rsidP="00A242DC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Търгът ще се проведе на </w:t>
      </w:r>
      <w:r w:rsidRPr="006932C2">
        <w:rPr>
          <w:rFonts w:ascii="Times New Roman" w:hAnsi="Times New Roman"/>
          <w:b/>
          <w:sz w:val="24"/>
          <w:szCs w:val="24"/>
        </w:rPr>
        <w:t xml:space="preserve">13.05.2022 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г.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 xml:space="preserve"> 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от 10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:30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 сградата </w:t>
      </w:r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6932C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6932C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A242DC" w:rsidRPr="006932C2" w:rsidRDefault="00A242DC" w:rsidP="00A242DC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A242DC" w:rsidRDefault="00A242DC" w:rsidP="00A242DC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на откриване на търга (т.е. до 10</w:t>
      </w:r>
      <w:r w:rsidRPr="00693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:15</w:t>
      </w:r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6932C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A242DC" w:rsidRDefault="00A242DC" w:rsidP="00A242DC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за провеждане на търг с тайно наддаване за отдаване под наем на части от недвижим имот – публична държавна собственост, с 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Отдаване под наем на ч</w:t>
      </w: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“ № 23 (част СРС и част СРП), с обща площ от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5</w:t>
      </w: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пет</w:t>
      </w: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) кв.метра, предназначени за монтиране на автомати за топли напитки, както следва:</w:t>
      </w:r>
    </w:p>
    <w:p w:rsidR="00A242DC" w:rsidRPr="00ED5EB9" w:rsidRDefault="00A242DC" w:rsidP="00A242DC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 xml:space="preserve">1. 3 бр. площи, всяка от които по 1,00 (един) кв.метър, на партерен етаж, за монтиране на общо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 броя автомат за топли напитки;</w:t>
      </w:r>
    </w:p>
    <w:p w:rsidR="00A242DC" w:rsidRDefault="00A242DC" w:rsidP="00A242DC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2. </w:t>
      </w: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 бр. площи, всяка от които по 1,00 (един) кв.метър, на четвърти етаж, за монтиране на общо 2 броя автомат за топли напитки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A242DC" w:rsidRPr="00017C12" w:rsidRDefault="00A242DC" w:rsidP="00A242DC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A242DC" w:rsidRDefault="00A242DC" w:rsidP="00A242DC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A242DC" w:rsidRPr="00017C12" w:rsidRDefault="00A242DC" w:rsidP="00A242DC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A242DC" w:rsidRPr="004D3940" w:rsidRDefault="00A242DC" w:rsidP="00A242DC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A242DC" w:rsidRDefault="00A242DC" w:rsidP="00A242DC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242DC" w:rsidRPr="00C41595" w:rsidRDefault="00A242DC" w:rsidP="00A242DC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A242DC" w:rsidRPr="008116FB" w:rsidRDefault="00A242DC" w:rsidP="00A242DC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: </w:t>
      </w:r>
    </w:p>
    <w:p w:rsidR="00A242DC" w:rsidRDefault="00A242DC" w:rsidP="00A242DC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6739BF" w:rsidRDefault="006739BF"/>
    <w:sectPr w:rsidR="006739BF" w:rsidSect="00A242DC">
      <w:footerReference w:type="first" r:id="rId10"/>
      <w:pgSz w:w="11906" w:h="16838"/>
      <w:pgMar w:top="1417" w:right="1417" w:bottom="1417" w:left="1417" w:header="70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DC" w:rsidRDefault="00A242DC" w:rsidP="00A242DC">
      <w:pPr>
        <w:spacing w:after="0" w:line="240" w:lineRule="auto"/>
      </w:pPr>
      <w:r>
        <w:separator/>
      </w:r>
    </w:p>
  </w:endnote>
  <w:endnote w:type="continuationSeparator" w:id="0">
    <w:p w:rsidR="00A242DC" w:rsidRDefault="00A242DC" w:rsidP="00A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C" w:rsidRPr="00BC2D81" w:rsidRDefault="00A242DC" w:rsidP="00A242DC">
    <w:pPr>
      <w:pStyle w:val="a6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гр. София 1463, бул. „Ген. М. Д. </w:t>
    </w:r>
    <w:proofErr w:type="spellStart"/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Скобелев</w:t>
    </w:r>
    <w:proofErr w:type="spellEnd"/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” № 23</w:t>
    </w:r>
  </w:p>
  <w:p w:rsidR="00A242DC" w:rsidRPr="00BC2D81" w:rsidRDefault="00A242DC" w:rsidP="00A242DC">
    <w:pPr>
      <w:pStyle w:val="a6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централа: 02/8954 300; тел./факс: 02/8954 760</w:t>
    </w:r>
  </w:p>
  <w:p w:rsidR="00A242DC" w:rsidRPr="00A242DC" w:rsidRDefault="00A242DC" w:rsidP="00A242DC">
    <w:pPr>
      <w:pStyle w:val="a6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http://www.srs.justice.bg/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DC" w:rsidRDefault="00A242DC" w:rsidP="00A242DC">
      <w:pPr>
        <w:spacing w:after="0" w:line="240" w:lineRule="auto"/>
      </w:pPr>
      <w:r>
        <w:separator/>
      </w:r>
    </w:p>
  </w:footnote>
  <w:footnote w:type="continuationSeparator" w:id="0">
    <w:p w:rsidR="00A242DC" w:rsidRDefault="00A242DC" w:rsidP="00A2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DC"/>
    <w:rsid w:val="006739BF"/>
    <w:rsid w:val="00A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242DC"/>
  </w:style>
  <w:style w:type="paragraph" w:styleId="a6">
    <w:name w:val="footer"/>
    <w:basedOn w:val="a"/>
    <w:link w:val="a7"/>
    <w:uiPriority w:val="99"/>
    <w:unhideWhenUsed/>
    <w:rsid w:val="00A2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242DC"/>
  </w:style>
  <w:style w:type="paragraph" w:styleId="a6">
    <w:name w:val="footer"/>
    <w:basedOn w:val="a"/>
    <w:link w:val="a7"/>
    <w:uiPriority w:val="99"/>
    <w:unhideWhenUsed/>
    <w:rsid w:val="00A2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n.stoynov@srs.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2022-04-04T07:14:00Z</dcterms:created>
  <dcterms:modified xsi:type="dcterms:W3CDTF">2022-04-04T07:15:00Z</dcterms:modified>
</cp:coreProperties>
</file>